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BC" w:rsidRPr="00ED2839" w:rsidRDefault="00276CBC" w:rsidP="00ED2839">
      <w:pPr>
        <w:jc w:val="center"/>
        <w:rPr>
          <w:b/>
          <w:sz w:val="24"/>
          <w:szCs w:val="24"/>
        </w:rPr>
      </w:pPr>
      <w:r w:rsidRPr="00ED2839">
        <w:rPr>
          <w:b/>
          <w:sz w:val="24"/>
          <w:szCs w:val="24"/>
        </w:rPr>
        <w:t xml:space="preserve">Em defesa da engenharia, da transparência </w:t>
      </w:r>
      <w:r w:rsidR="00ED2839" w:rsidRPr="00ED2839">
        <w:rPr>
          <w:b/>
          <w:sz w:val="24"/>
          <w:szCs w:val="24"/>
        </w:rPr>
        <w:br/>
      </w:r>
      <w:r w:rsidRPr="00ED2839">
        <w:rPr>
          <w:b/>
          <w:sz w:val="24"/>
          <w:szCs w:val="24"/>
        </w:rPr>
        <w:t>nas licitações públicas e da segurança da população</w:t>
      </w:r>
    </w:p>
    <w:p w:rsidR="00276CBC" w:rsidRDefault="00276CBC" w:rsidP="00ED2839">
      <w:pPr>
        <w:rPr>
          <w:sz w:val="24"/>
          <w:szCs w:val="24"/>
        </w:rPr>
      </w:pPr>
    </w:p>
    <w:p w:rsidR="00CB2828" w:rsidRDefault="00276CBC" w:rsidP="00ED2839">
      <w:pPr>
        <w:rPr>
          <w:sz w:val="24"/>
          <w:szCs w:val="24"/>
        </w:rPr>
      </w:pPr>
      <w:r w:rsidRPr="00537B58">
        <w:rPr>
          <w:sz w:val="24"/>
          <w:szCs w:val="24"/>
        </w:rPr>
        <w:t>A Federação Nacional dos Engenheiros (FNE) vem manifestar a sua firme posição</w:t>
      </w:r>
      <w:r w:rsidR="002E1A46" w:rsidRPr="00537B58">
        <w:rPr>
          <w:sz w:val="24"/>
          <w:szCs w:val="24"/>
        </w:rPr>
        <w:t xml:space="preserve"> </w:t>
      </w:r>
      <w:r w:rsidR="0012219A">
        <w:rPr>
          <w:sz w:val="24"/>
          <w:szCs w:val="24"/>
        </w:rPr>
        <w:t>contrária aos novos parecer e substitutivo</w:t>
      </w:r>
      <w:r w:rsidR="00FA4DCA">
        <w:rPr>
          <w:sz w:val="24"/>
          <w:szCs w:val="24"/>
        </w:rPr>
        <w:t xml:space="preserve"> </w:t>
      </w:r>
      <w:r w:rsidR="0012219A">
        <w:rPr>
          <w:sz w:val="24"/>
          <w:szCs w:val="24"/>
        </w:rPr>
        <w:t xml:space="preserve">ao </w:t>
      </w:r>
      <w:r w:rsidR="0012219A" w:rsidRPr="00537B58">
        <w:rPr>
          <w:sz w:val="24"/>
          <w:szCs w:val="24"/>
        </w:rPr>
        <w:t>Projeto de Lei 1</w:t>
      </w:r>
      <w:r w:rsidR="0012219A">
        <w:rPr>
          <w:sz w:val="24"/>
          <w:szCs w:val="24"/>
        </w:rPr>
        <w:t>.</w:t>
      </w:r>
      <w:r w:rsidR="0012219A" w:rsidRPr="00537B58">
        <w:rPr>
          <w:sz w:val="24"/>
          <w:szCs w:val="24"/>
        </w:rPr>
        <w:t>292/</w:t>
      </w:r>
      <w:r w:rsidR="0012219A">
        <w:rPr>
          <w:sz w:val="24"/>
          <w:szCs w:val="24"/>
        </w:rPr>
        <w:t>19</w:t>
      </w:r>
      <w:r w:rsidR="0012219A" w:rsidRPr="00537B58">
        <w:rPr>
          <w:sz w:val="24"/>
          <w:szCs w:val="24"/>
        </w:rPr>
        <w:t>95</w:t>
      </w:r>
      <w:r w:rsidR="0012219A">
        <w:rPr>
          <w:sz w:val="24"/>
          <w:szCs w:val="24"/>
        </w:rPr>
        <w:t xml:space="preserve"> (ao qual está apensado o </w:t>
      </w:r>
      <w:r w:rsidR="0012219A" w:rsidRPr="00537B58">
        <w:rPr>
          <w:sz w:val="24"/>
          <w:szCs w:val="24"/>
        </w:rPr>
        <w:t>PL 6.814/2017</w:t>
      </w:r>
      <w:r w:rsidR="0012219A">
        <w:rPr>
          <w:sz w:val="24"/>
          <w:szCs w:val="24"/>
        </w:rPr>
        <w:t xml:space="preserve">), apresentado em 6 de junho, pelo relator, deputado João Arruda (MDB/PR). Com votação prevista na Comissão Especial para esta terça-feira, 12 de junho, o relatório deve ser rejeitado a bem do interesse público. </w:t>
      </w:r>
    </w:p>
    <w:p w:rsidR="0012219A" w:rsidRDefault="0012219A" w:rsidP="00ED2839">
      <w:pPr>
        <w:rPr>
          <w:sz w:val="24"/>
          <w:szCs w:val="24"/>
        </w:rPr>
      </w:pPr>
    </w:p>
    <w:p w:rsidR="00CB2828" w:rsidRPr="00ED2839" w:rsidRDefault="0012219A" w:rsidP="00CB2828">
      <w:pPr>
        <w:rPr>
          <w:sz w:val="24"/>
          <w:szCs w:val="24"/>
        </w:rPr>
      </w:pPr>
      <w:r>
        <w:rPr>
          <w:sz w:val="24"/>
          <w:szCs w:val="24"/>
        </w:rPr>
        <w:t xml:space="preserve">A matéria mantém vícios </w:t>
      </w:r>
      <w:r w:rsidR="00FA4DCA">
        <w:rPr>
          <w:sz w:val="24"/>
          <w:szCs w:val="24"/>
        </w:rPr>
        <w:t xml:space="preserve">do PL original, </w:t>
      </w:r>
      <w:r>
        <w:rPr>
          <w:sz w:val="24"/>
          <w:szCs w:val="24"/>
        </w:rPr>
        <w:t xml:space="preserve">especialmente a possibilidade de </w:t>
      </w:r>
      <w:r w:rsidR="00CB2828" w:rsidRPr="00ED2839">
        <w:rPr>
          <w:sz w:val="24"/>
          <w:szCs w:val="24"/>
        </w:rPr>
        <w:t xml:space="preserve">contratação de obras públicas de engenharia sem projeto executivo. </w:t>
      </w:r>
      <w:r>
        <w:rPr>
          <w:sz w:val="24"/>
          <w:szCs w:val="24"/>
        </w:rPr>
        <w:t>Como já alerta</w:t>
      </w:r>
      <w:r w:rsidR="00FA4DCA">
        <w:rPr>
          <w:sz w:val="24"/>
          <w:szCs w:val="24"/>
        </w:rPr>
        <w:t>do</w:t>
      </w:r>
      <w:r>
        <w:rPr>
          <w:sz w:val="24"/>
          <w:szCs w:val="24"/>
        </w:rPr>
        <w:t xml:space="preserve">, o texto proposto </w:t>
      </w:r>
      <w:r w:rsidR="00FA4DCA">
        <w:rPr>
          <w:sz w:val="24"/>
          <w:szCs w:val="24"/>
        </w:rPr>
        <w:t xml:space="preserve">agrava problemas </w:t>
      </w:r>
      <w:r w:rsidR="00CB2828" w:rsidRPr="00ED2839">
        <w:rPr>
          <w:sz w:val="24"/>
          <w:szCs w:val="24"/>
        </w:rPr>
        <w:t>presentes na Lei das Estatais (13.308/16), que introduziu a contratação integrada como modalidade de licitação das cerca de 250 estatais da União.</w:t>
      </w:r>
    </w:p>
    <w:p w:rsidR="00B0510A" w:rsidRPr="00ED2839" w:rsidRDefault="00B0510A" w:rsidP="00ED2839">
      <w:pPr>
        <w:rPr>
          <w:sz w:val="24"/>
          <w:szCs w:val="24"/>
        </w:rPr>
      </w:pPr>
    </w:p>
    <w:p w:rsidR="00276CBC" w:rsidRPr="00ED2839" w:rsidRDefault="00276CBC" w:rsidP="00ED2839">
      <w:pPr>
        <w:rPr>
          <w:sz w:val="24"/>
          <w:szCs w:val="24"/>
        </w:rPr>
      </w:pPr>
      <w:r w:rsidRPr="00ED2839">
        <w:rPr>
          <w:sz w:val="24"/>
          <w:szCs w:val="24"/>
        </w:rPr>
        <w:t>Entendemos que</w:t>
      </w:r>
      <w:r w:rsidR="00FA4DCA">
        <w:rPr>
          <w:sz w:val="24"/>
          <w:szCs w:val="24"/>
        </w:rPr>
        <w:t>,</w:t>
      </w:r>
      <w:r w:rsidR="0012219A">
        <w:rPr>
          <w:sz w:val="24"/>
          <w:szCs w:val="24"/>
        </w:rPr>
        <w:t xml:space="preserve"> se o Congresso decidir-se pela substituição d</w:t>
      </w:r>
      <w:r w:rsidRPr="00ED2839">
        <w:rPr>
          <w:sz w:val="24"/>
          <w:szCs w:val="24"/>
        </w:rPr>
        <w:t>a Lei 8</w:t>
      </w:r>
      <w:r w:rsidR="00ED2839">
        <w:rPr>
          <w:sz w:val="24"/>
          <w:szCs w:val="24"/>
        </w:rPr>
        <w:t>.</w:t>
      </w:r>
      <w:r w:rsidRPr="00ED2839">
        <w:rPr>
          <w:sz w:val="24"/>
          <w:szCs w:val="24"/>
        </w:rPr>
        <w:t>666/</w:t>
      </w:r>
      <w:r w:rsidR="0012219A">
        <w:rPr>
          <w:sz w:val="24"/>
          <w:szCs w:val="24"/>
        </w:rPr>
        <w:t>19</w:t>
      </w:r>
      <w:r w:rsidRPr="00ED2839">
        <w:rPr>
          <w:sz w:val="24"/>
          <w:szCs w:val="24"/>
        </w:rPr>
        <w:t>93</w:t>
      </w:r>
      <w:r w:rsidR="0012219A">
        <w:rPr>
          <w:sz w:val="24"/>
          <w:szCs w:val="24"/>
        </w:rPr>
        <w:t xml:space="preserve">, deve fazê-lo </w:t>
      </w:r>
      <w:r w:rsidR="00FA4DCA">
        <w:rPr>
          <w:sz w:val="24"/>
          <w:szCs w:val="24"/>
        </w:rPr>
        <w:t xml:space="preserve">de forma a aprimorar </w:t>
      </w:r>
      <w:r w:rsidR="0012219A">
        <w:rPr>
          <w:sz w:val="24"/>
          <w:szCs w:val="24"/>
        </w:rPr>
        <w:t xml:space="preserve">as regras para </w:t>
      </w:r>
      <w:r w:rsidRPr="00ED2839">
        <w:rPr>
          <w:sz w:val="24"/>
          <w:szCs w:val="24"/>
        </w:rPr>
        <w:t xml:space="preserve">contratação </w:t>
      </w:r>
      <w:r w:rsidR="0012219A">
        <w:rPr>
          <w:sz w:val="24"/>
          <w:szCs w:val="24"/>
        </w:rPr>
        <w:t>n</w:t>
      </w:r>
      <w:r w:rsidR="000D316A">
        <w:rPr>
          <w:sz w:val="24"/>
          <w:szCs w:val="24"/>
        </w:rPr>
        <w:t xml:space="preserve">o </w:t>
      </w:r>
      <w:r w:rsidRPr="00ED2839">
        <w:rPr>
          <w:sz w:val="24"/>
          <w:szCs w:val="24"/>
        </w:rPr>
        <w:t>setor público</w:t>
      </w:r>
      <w:r w:rsidR="00FA4DCA">
        <w:rPr>
          <w:sz w:val="24"/>
          <w:szCs w:val="24"/>
        </w:rPr>
        <w:t xml:space="preserve">. </w:t>
      </w:r>
      <w:r w:rsidR="0012219A">
        <w:rPr>
          <w:sz w:val="24"/>
          <w:szCs w:val="24"/>
        </w:rPr>
        <w:t xml:space="preserve">Devem ser feitos </w:t>
      </w:r>
      <w:r w:rsidRPr="00ED2839">
        <w:rPr>
          <w:sz w:val="24"/>
          <w:szCs w:val="24"/>
        </w:rPr>
        <w:t>aperfeiçoamentos</w:t>
      </w:r>
      <w:r w:rsidR="0012219A">
        <w:rPr>
          <w:sz w:val="24"/>
          <w:szCs w:val="24"/>
        </w:rPr>
        <w:t xml:space="preserve">, entre os quais </w:t>
      </w:r>
      <w:r w:rsidR="0021111D" w:rsidRPr="00ED2839">
        <w:rPr>
          <w:sz w:val="24"/>
          <w:szCs w:val="24"/>
        </w:rPr>
        <w:t>destaca</w:t>
      </w:r>
      <w:r w:rsidR="00ED2839">
        <w:rPr>
          <w:sz w:val="24"/>
          <w:szCs w:val="24"/>
        </w:rPr>
        <w:t>m</w:t>
      </w:r>
      <w:r w:rsidR="0021111D" w:rsidRPr="00ED2839">
        <w:rPr>
          <w:sz w:val="24"/>
          <w:szCs w:val="24"/>
        </w:rPr>
        <w:t xml:space="preserve">-se </w:t>
      </w:r>
      <w:r w:rsidR="00B9622D">
        <w:rPr>
          <w:sz w:val="24"/>
          <w:szCs w:val="24"/>
        </w:rPr>
        <w:t xml:space="preserve">a garantia de </w:t>
      </w:r>
      <w:r w:rsidR="0096729E" w:rsidRPr="00ED2839">
        <w:rPr>
          <w:sz w:val="24"/>
          <w:szCs w:val="24"/>
        </w:rPr>
        <w:t>isonomia e</w:t>
      </w:r>
      <w:r w:rsidR="000D316A">
        <w:rPr>
          <w:sz w:val="24"/>
          <w:szCs w:val="24"/>
        </w:rPr>
        <w:t xml:space="preserve"> o</w:t>
      </w:r>
      <w:r w:rsidRPr="00ED2839">
        <w:rPr>
          <w:sz w:val="24"/>
          <w:szCs w:val="24"/>
        </w:rPr>
        <w:t xml:space="preserve"> direito de participação </w:t>
      </w:r>
      <w:r w:rsidR="00ED2839">
        <w:rPr>
          <w:sz w:val="24"/>
          <w:szCs w:val="24"/>
        </w:rPr>
        <w:t xml:space="preserve">na licitação </w:t>
      </w:r>
      <w:r w:rsidRPr="00ED2839">
        <w:rPr>
          <w:sz w:val="24"/>
          <w:szCs w:val="24"/>
        </w:rPr>
        <w:t xml:space="preserve">a todos os interessados </w:t>
      </w:r>
      <w:r w:rsidR="0021111D" w:rsidRPr="00ED2839">
        <w:rPr>
          <w:sz w:val="24"/>
          <w:szCs w:val="24"/>
        </w:rPr>
        <w:t>que tenham</w:t>
      </w:r>
      <w:r w:rsidRPr="00ED2839">
        <w:rPr>
          <w:sz w:val="24"/>
          <w:szCs w:val="24"/>
        </w:rPr>
        <w:t xml:space="preserve"> capacidade</w:t>
      </w:r>
      <w:r w:rsidR="00ED2839">
        <w:rPr>
          <w:sz w:val="24"/>
          <w:szCs w:val="24"/>
        </w:rPr>
        <w:t xml:space="preserve"> para tal</w:t>
      </w:r>
      <w:r w:rsidR="000D316A">
        <w:rPr>
          <w:sz w:val="24"/>
          <w:szCs w:val="24"/>
        </w:rPr>
        <w:t>; o julgamento objetivo;</w:t>
      </w:r>
      <w:r w:rsidRPr="00ED2839">
        <w:rPr>
          <w:sz w:val="24"/>
          <w:szCs w:val="24"/>
        </w:rPr>
        <w:t xml:space="preserve"> a existência prévia de projeto e orçamento bem elaborados</w:t>
      </w:r>
      <w:r w:rsidR="000D316A">
        <w:rPr>
          <w:sz w:val="24"/>
          <w:szCs w:val="24"/>
        </w:rPr>
        <w:t>;</w:t>
      </w:r>
      <w:r w:rsidRPr="00ED2839">
        <w:rPr>
          <w:sz w:val="24"/>
          <w:szCs w:val="24"/>
        </w:rPr>
        <w:t xml:space="preserve"> e a desclassificação</w:t>
      </w:r>
      <w:r w:rsidR="00B0510A" w:rsidRPr="00ED2839">
        <w:rPr>
          <w:sz w:val="24"/>
          <w:szCs w:val="24"/>
        </w:rPr>
        <w:t xml:space="preserve"> de propostas com preços abusivos ou inexequíveis.</w:t>
      </w:r>
    </w:p>
    <w:p w:rsidR="0069100B" w:rsidRPr="00ED2839" w:rsidRDefault="0069100B" w:rsidP="00ED2839">
      <w:pPr>
        <w:rPr>
          <w:sz w:val="24"/>
          <w:szCs w:val="24"/>
        </w:rPr>
      </w:pPr>
    </w:p>
    <w:p w:rsidR="0069100B" w:rsidRPr="00ED2839" w:rsidRDefault="0069100B" w:rsidP="00ED2839">
      <w:pPr>
        <w:rPr>
          <w:sz w:val="24"/>
          <w:szCs w:val="24"/>
        </w:rPr>
      </w:pPr>
      <w:r w:rsidRPr="00ED2839">
        <w:rPr>
          <w:sz w:val="24"/>
          <w:szCs w:val="24"/>
        </w:rPr>
        <w:t>A Lei 8</w:t>
      </w:r>
      <w:r w:rsidR="00ED2839">
        <w:rPr>
          <w:sz w:val="24"/>
          <w:szCs w:val="24"/>
        </w:rPr>
        <w:t>.</w:t>
      </w:r>
      <w:r w:rsidRPr="00ED2839">
        <w:rPr>
          <w:sz w:val="24"/>
          <w:szCs w:val="24"/>
        </w:rPr>
        <w:t>666/93 obedece rigorosamente aos fundamentos da Constituição estabelecidos no Art. 37, inciso XXI: “</w:t>
      </w:r>
      <w:r w:rsidR="00ED2839">
        <w:rPr>
          <w:sz w:val="24"/>
          <w:szCs w:val="24"/>
        </w:rPr>
        <w:t>R</w:t>
      </w:r>
      <w:r w:rsidRPr="00ED2839">
        <w:rPr>
          <w:sz w:val="24"/>
          <w:szCs w:val="24"/>
        </w:rPr>
        <w:t>essalvados os casos especificados na legislação, as obras, serviços, compras e alienações serão contratados mediante processo de licitação pública que assegura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obrigações.”</w:t>
      </w:r>
      <w:r w:rsidR="00B9622D">
        <w:rPr>
          <w:sz w:val="24"/>
          <w:szCs w:val="24"/>
        </w:rPr>
        <w:t xml:space="preserve"> </w:t>
      </w:r>
      <w:r w:rsidR="00FA4DCA">
        <w:rPr>
          <w:sz w:val="24"/>
          <w:szCs w:val="24"/>
        </w:rPr>
        <w:t>Portanto, t</w:t>
      </w:r>
      <w:r w:rsidR="00B9622D">
        <w:rPr>
          <w:sz w:val="24"/>
          <w:szCs w:val="24"/>
        </w:rPr>
        <w:t xml:space="preserve">al diretriz deve se manter em nova legislação que venha a substituí-la. </w:t>
      </w:r>
    </w:p>
    <w:p w:rsidR="00C3193A" w:rsidRPr="00ED2839" w:rsidRDefault="00C3193A" w:rsidP="00ED2839">
      <w:pPr>
        <w:rPr>
          <w:sz w:val="24"/>
          <w:szCs w:val="24"/>
        </w:rPr>
      </w:pPr>
    </w:p>
    <w:p w:rsidR="00FA4258" w:rsidRPr="00ED2839" w:rsidRDefault="00B9622D" w:rsidP="00ED2839">
      <w:pPr>
        <w:rPr>
          <w:sz w:val="24"/>
          <w:szCs w:val="24"/>
        </w:rPr>
      </w:pPr>
      <w:r>
        <w:rPr>
          <w:sz w:val="24"/>
          <w:szCs w:val="24"/>
        </w:rPr>
        <w:t xml:space="preserve">É preciso compreender que </w:t>
      </w:r>
      <w:r w:rsidR="00D0004F" w:rsidRPr="00ED2839">
        <w:rPr>
          <w:sz w:val="24"/>
          <w:szCs w:val="24"/>
        </w:rPr>
        <w:t>as causas reais das protelações</w:t>
      </w:r>
      <w:r>
        <w:rPr>
          <w:sz w:val="24"/>
          <w:szCs w:val="24"/>
        </w:rPr>
        <w:t xml:space="preserve">, muitas vezes atribuídas à Lei 8.666/1993, </w:t>
      </w:r>
      <w:r w:rsidR="00D0004F" w:rsidRPr="00ED2839">
        <w:rPr>
          <w:sz w:val="24"/>
          <w:szCs w:val="24"/>
        </w:rPr>
        <w:t>são pr</w:t>
      </w:r>
      <w:r w:rsidR="00ED2839">
        <w:rPr>
          <w:sz w:val="24"/>
          <w:szCs w:val="24"/>
        </w:rPr>
        <w:t xml:space="preserve">ecisamente as desobediências </w:t>
      </w:r>
      <w:r>
        <w:rPr>
          <w:sz w:val="24"/>
          <w:szCs w:val="24"/>
        </w:rPr>
        <w:t xml:space="preserve">aos seus preceitos. Entre esses, </w:t>
      </w:r>
      <w:r w:rsidR="00ED2839">
        <w:rPr>
          <w:sz w:val="24"/>
          <w:szCs w:val="24"/>
        </w:rPr>
        <w:t>p</w:t>
      </w:r>
      <w:r w:rsidR="00D0004F" w:rsidRPr="00ED2839">
        <w:rPr>
          <w:sz w:val="24"/>
          <w:szCs w:val="24"/>
        </w:rPr>
        <w:t xml:space="preserve">rocessos </w:t>
      </w:r>
      <w:r w:rsidR="00CD491A" w:rsidRPr="00ED2839">
        <w:rPr>
          <w:sz w:val="24"/>
          <w:szCs w:val="24"/>
        </w:rPr>
        <w:t>deficientes</w:t>
      </w:r>
      <w:r w:rsidR="00D0004F" w:rsidRPr="00ED2839">
        <w:rPr>
          <w:sz w:val="24"/>
          <w:szCs w:val="24"/>
        </w:rPr>
        <w:t xml:space="preserve"> </w:t>
      </w:r>
      <w:r w:rsidR="00CD491A" w:rsidRPr="00ED2839">
        <w:rPr>
          <w:sz w:val="24"/>
          <w:szCs w:val="24"/>
        </w:rPr>
        <w:t>na</w:t>
      </w:r>
      <w:r w:rsidR="00D0004F" w:rsidRPr="00ED2839">
        <w:rPr>
          <w:sz w:val="24"/>
          <w:szCs w:val="24"/>
        </w:rPr>
        <w:t xml:space="preserve"> seleção do</w:t>
      </w:r>
      <w:r w:rsidR="00FA4258" w:rsidRPr="00ED2839">
        <w:rPr>
          <w:sz w:val="24"/>
          <w:szCs w:val="24"/>
        </w:rPr>
        <w:t xml:space="preserve"> vencedor;</w:t>
      </w:r>
      <w:r w:rsidR="000D316A">
        <w:rPr>
          <w:sz w:val="24"/>
          <w:szCs w:val="24"/>
        </w:rPr>
        <w:t xml:space="preserve"> </w:t>
      </w:r>
      <w:r w:rsidR="00ED2839">
        <w:rPr>
          <w:sz w:val="24"/>
          <w:szCs w:val="24"/>
        </w:rPr>
        <w:t xml:space="preserve">ausência </w:t>
      </w:r>
      <w:r w:rsidR="00FA4258" w:rsidRPr="00ED2839">
        <w:rPr>
          <w:sz w:val="24"/>
          <w:szCs w:val="24"/>
        </w:rPr>
        <w:t>ou deficiência de projeto;</w:t>
      </w:r>
      <w:r w:rsidR="00ED2839">
        <w:rPr>
          <w:sz w:val="24"/>
          <w:szCs w:val="24"/>
        </w:rPr>
        <w:t xml:space="preserve"> imprevisibilidade </w:t>
      </w:r>
      <w:r w:rsidR="00CD491A" w:rsidRPr="00ED2839">
        <w:rPr>
          <w:sz w:val="24"/>
          <w:szCs w:val="24"/>
        </w:rPr>
        <w:t>orçamentária</w:t>
      </w:r>
      <w:r w:rsidR="00FA4258" w:rsidRPr="00ED2839">
        <w:rPr>
          <w:sz w:val="24"/>
          <w:szCs w:val="24"/>
        </w:rPr>
        <w:t xml:space="preserve"> ou atraso de pagamento;</w:t>
      </w:r>
      <w:r w:rsidR="00ED2839">
        <w:rPr>
          <w:sz w:val="24"/>
          <w:szCs w:val="24"/>
        </w:rPr>
        <w:t xml:space="preserve">  problemas com </w:t>
      </w:r>
      <w:r w:rsidR="00FA4258" w:rsidRPr="00ED2839">
        <w:rPr>
          <w:sz w:val="24"/>
          <w:szCs w:val="24"/>
        </w:rPr>
        <w:t>desapropriações;</w:t>
      </w:r>
      <w:r w:rsidR="00ED2839">
        <w:rPr>
          <w:sz w:val="24"/>
          <w:szCs w:val="24"/>
        </w:rPr>
        <w:t xml:space="preserve"> f</w:t>
      </w:r>
      <w:r w:rsidR="00FA4258" w:rsidRPr="00ED2839">
        <w:rPr>
          <w:sz w:val="24"/>
          <w:szCs w:val="24"/>
        </w:rPr>
        <w:t>alta de licenças ambientais;</w:t>
      </w:r>
      <w:r w:rsidR="00ED2839">
        <w:rPr>
          <w:sz w:val="24"/>
          <w:szCs w:val="24"/>
        </w:rPr>
        <w:t xml:space="preserve"> </w:t>
      </w:r>
      <w:r w:rsidR="00FA4DCA">
        <w:rPr>
          <w:sz w:val="24"/>
          <w:szCs w:val="24"/>
        </w:rPr>
        <w:t xml:space="preserve">e </w:t>
      </w:r>
      <w:r w:rsidR="00ED2839">
        <w:rPr>
          <w:sz w:val="24"/>
          <w:szCs w:val="24"/>
        </w:rPr>
        <w:t>n</w:t>
      </w:r>
      <w:r w:rsidR="00FA4258" w:rsidRPr="00ED2839">
        <w:rPr>
          <w:sz w:val="24"/>
          <w:szCs w:val="24"/>
        </w:rPr>
        <w:t>ão pagamento de reajuste para manutenção dos preços propostos.</w:t>
      </w:r>
    </w:p>
    <w:p w:rsidR="00B0510A" w:rsidRPr="00ED2839" w:rsidRDefault="00B0510A" w:rsidP="00ED2839">
      <w:pPr>
        <w:rPr>
          <w:sz w:val="24"/>
          <w:szCs w:val="24"/>
        </w:rPr>
      </w:pPr>
    </w:p>
    <w:p w:rsidR="00B0510A" w:rsidRPr="00ED2839" w:rsidRDefault="00B0510A" w:rsidP="00ED2839">
      <w:pPr>
        <w:rPr>
          <w:sz w:val="24"/>
          <w:szCs w:val="24"/>
        </w:rPr>
      </w:pPr>
      <w:r w:rsidRPr="00ED2839">
        <w:rPr>
          <w:sz w:val="24"/>
          <w:szCs w:val="24"/>
        </w:rPr>
        <w:t xml:space="preserve">A FNE considera </w:t>
      </w:r>
      <w:r w:rsidR="0021111D" w:rsidRPr="00ED2839">
        <w:rPr>
          <w:sz w:val="24"/>
          <w:szCs w:val="24"/>
        </w:rPr>
        <w:t xml:space="preserve">que </w:t>
      </w:r>
      <w:r w:rsidRPr="00ED2839">
        <w:rPr>
          <w:sz w:val="24"/>
          <w:szCs w:val="24"/>
        </w:rPr>
        <w:t>o planejamento</w:t>
      </w:r>
      <w:r w:rsidR="0021111D" w:rsidRPr="00ED2839">
        <w:rPr>
          <w:sz w:val="24"/>
          <w:szCs w:val="24"/>
        </w:rPr>
        <w:t xml:space="preserve"> é</w:t>
      </w:r>
      <w:r w:rsidRPr="00ED2839">
        <w:rPr>
          <w:sz w:val="24"/>
          <w:szCs w:val="24"/>
        </w:rPr>
        <w:t xml:space="preserve"> fundamental para o processo de decisão </w:t>
      </w:r>
      <w:r w:rsidR="00ED2839">
        <w:rPr>
          <w:sz w:val="24"/>
          <w:szCs w:val="24"/>
        </w:rPr>
        <w:t xml:space="preserve">relativo a </w:t>
      </w:r>
      <w:r w:rsidRPr="00ED2839">
        <w:rPr>
          <w:sz w:val="24"/>
          <w:szCs w:val="24"/>
        </w:rPr>
        <w:t xml:space="preserve">todos os investimentos </w:t>
      </w:r>
      <w:r w:rsidR="0021111D" w:rsidRPr="00ED2839">
        <w:rPr>
          <w:sz w:val="24"/>
          <w:szCs w:val="24"/>
        </w:rPr>
        <w:t>em</w:t>
      </w:r>
      <w:r w:rsidR="00ED2839">
        <w:rPr>
          <w:sz w:val="24"/>
          <w:szCs w:val="24"/>
        </w:rPr>
        <w:t xml:space="preserve"> infraestrutura. Ess</w:t>
      </w:r>
      <w:r w:rsidRPr="00ED2839">
        <w:rPr>
          <w:sz w:val="24"/>
          <w:szCs w:val="24"/>
        </w:rPr>
        <w:t xml:space="preserve">es, por sua vez, devem ser previamente avaliados quanto </w:t>
      </w:r>
      <w:r w:rsidR="00ED2839">
        <w:rPr>
          <w:sz w:val="24"/>
          <w:szCs w:val="24"/>
        </w:rPr>
        <w:t>à</w:t>
      </w:r>
      <w:r w:rsidRPr="00ED2839">
        <w:rPr>
          <w:sz w:val="24"/>
          <w:szCs w:val="24"/>
        </w:rPr>
        <w:t xml:space="preserve"> sua viabilidade técnica, econômica e </w:t>
      </w:r>
      <w:r w:rsidR="00CB2828">
        <w:rPr>
          <w:sz w:val="24"/>
          <w:szCs w:val="24"/>
        </w:rPr>
        <w:t>socio</w:t>
      </w:r>
      <w:r w:rsidRPr="00ED2839">
        <w:rPr>
          <w:sz w:val="24"/>
          <w:szCs w:val="24"/>
        </w:rPr>
        <w:t>ambiental, cumprindo necessariamente a totalidade dos requisitos formais de risco-retorno e custo-benefício dentro das regras de governança, legalidade, normativas e econômicas</w:t>
      </w:r>
      <w:r w:rsidR="006B79C5" w:rsidRPr="00ED2839">
        <w:rPr>
          <w:sz w:val="24"/>
          <w:szCs w:val="24"/>
        </w:rPr>
        <w:t>,</w:t>
      </w:r>
      <w:r w:rsidRPr="00ED2839">
        <w:rPr>
          <w:sz w:val="24"/>
          <w:szCs w:val="24"/>
        </w:rPr>
        <w:t xml:space="preserve"> consagradas pelas entidades de auditoria e organismos de financiamento internacionais.</w:t>
      </w:r>
    </w:p>
    <w:p w:rsidR="00B0510A" w:rsidRPr="00ED2839" w:rsidRDefault="00B0510A" w:rsidP="00ED2839">
      <w:pPr>
        <w:rPr>
          <w:sz w:val="24"/>
          <w:szCs w:val="24"/>
        </w:rPr>
      </w:pPr>
    </w:p>
    <w:p w:rsidR="00B0510A" w:rsidRPr="00ED2839" w:rsidRDefault="00B0510A" w:rsidP="00ED2839">
      <w:pPr>
        <w:rPr>
          <w:sz w:val="24"/>
          <w:szCs w:val="24"/>
        </w:rPr>
      </w:pPr>
      <w:r w:rsidRPr="00ED2839">
        <w:rPr>
          <w:sz w:val="24"/>
          <w:szCs w:val="24"/>
        </w:rPr>
        <w:lastRenderedPageBreak/>
        <w:t xml:space="preserve">Repudiamos todos os processos casuísticos para contratação de serviços e obras de engenharia, seja quanto </w:t>
      </w:r>
      <w:r w:rsidR="00F011CF">
        <w:rPr>
          <w:sz w:val="24"/>
          <w:szCs w:val="24"/>
        </w:rPr>
        <w:t>a</w:t>
      </w:r>
      <w:r w:rsidRPr="00ED2839">
        <w:rPr>
          <w:sz w:val="24"/>
          <w:szCs w:val="24"/>
        </w:rPr>
        <w:t xml:space="preserve"> si</w:t>
      </w:r>
      <w:r w:rsidR="002E1A46" w:rsidRPr="00ED2839">
        <w:rPr>
          <w:sz w:val="24"/>
          <w:szCs w:val="24"/>
        </w:rPr>
        <w:t xml:space="preserve">mplificação das modalidades de </w:t>
      </w:r>
      <w:r w:rsidRPr="00ED2839">
        <w:rPr>
          <w:sz w:val="24"/>
          <w:szCs w:val="24"/>
        </w:rPr>
        <w:t>licitação</w:t>
      </w:r>
      <w:r w:rsidR="002E1A46" w:rsidRPr="00ED2839">
        <w:rPr>
          <w:sz w:val="24"/>
          <w:szCs w:val="24"/>
        </w:rPr>
        <w:t xml:space="preserve">, </w:t>
      </w:r>
      <w:r w:rsidR="00F011CF">
        <w:rPr>
          <w:sz w:val="24"/>
          <w:szCs w:val="24"/>
        </w:rPr>
        <w:t>precificação ou</w:t>
      </w:r>
      <w:r w:rsidR="002E1A46" w:rsidRPr="00ED2839">
        <w:rPr>
          <w:sz w:val="24"/>
          <w:szCs w:val="24"/>
        </w:rPr>
        <w:t xml:space="preserve"> não aplicação da necessária exigência de qualificação dos agentes contratados proporcional à complexidade dos serviços. Recomendamos que todos os investimentos sejam avaliados desde o processo de concepção</w:t>
      </w:r>
      <w:r w:rsidR="008A3A8E" w:rsidRPr="00ED2839">
        <w:rPr>
          <w:sz w:val="24"/>
          <w:szCs w:val="24"/>
        </w:rPr>
        <w:t>,</w:t>
      </w:r>
      <w:r w:rsidR="002E1A46" w:rsidRPr="00ED2839">
        <w:rPr>
          <w:sz w:val="24"/>
          <w:szCs w:val="24"/>
        </w:rPr>
        <w:t xml:space="preserve"> com </w:t>
      </w:r>
      <w:r w:rsidR="008A3A8E" w:rsidRPr="00ED2839">
        <w:rPr>
          <w:sz w:val="24"/>
          <w:szCs w:val="24"/>
        </w:rPr>
        <w:t>técnicas de gestão de projetos, de acordo com o preconizado pelo PMI</w:t>
      </w:r>
      <w:r w:rsidR="00F011CF">
        <w:rPr>
          <w:sz w:val="24"/>
          <w:szCs w:val="24"/>
        </w:rPr>
        <w:t xml:space="preserve"> –</w:t>
      </w:r>
      <w:r w:rsidR="00F011CF" w:rsidRPr="00F011CF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F011CF" w:rsidRPr="00F011CF">
        <w:rPr>
          <w:i/>
          <w:sz w:val="24"/>
          <w:szCs w:val="24"/>
        </w:rPr>
        <w:t>Project Management Institute</w:t>
      </w:r>
      <w:r w:rsidR="00F011CF" w:rsidRPr="00F011CF">
        <w:rPr>
          <w:rStyle w:val="nfas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011CF">
        <w:rPr>
          <w:rStyle w:val="nfase"/>
          <w:rFonts w:ascii="Arial" w:hAnsi="Arial" w:cs="Arial"/>
          <w:color w:val="444444"/>
          <w:sz w:val="20"/>
          <w:szCs w:val="20"/>
          <w:shd w:val="clear" w:color="auto" w:fill="FFFFFF"/>
        </w:rPr>
        <w:t>–</w:t>
      </w:r>
      <w:r w:rsidR="002E1A46" w:rsidRPr="00ED2839">
        <w:rPr>
          <w:sz w:val="24"/>
          <w:szCs w:val="24"/>
        </w:rPr>
        <w:t>, de modo a permitir uma mensuração objetiva de desempenho qualitativo e quantitativo em todas as etapas</w:t>
      </w:r>
      <w:r w:rsidR="00F011CF">
        <w:rPr>
          <w:sz w:val="24"/>
          <w:szCs w:val="24"/>
        </w:rPr>
        <w:t xml:space="preserve">. O objetivo deve ser </w:t>
      </w:r>
      <w:r w:rsidR="002E1A46" w:rsidRPr="00ED2839">
        <w:rPr>
          <w:sz w:val="24"/>
          <w:szCs w:val="24"/>
        </w:rPr>
        <w:t xml:space="preserve">o melhor retorno sustentável </w:t>
      </w:r>
      <w:r w:rsidR="00F011CF">
        <w:rPr>
          <w:sz w:val="24"/>
          <w:szCs w:val="24"/>
        </w:rPr>
        <w:t>em</w:t>
      </w:r>
      <w:r w:rsidR="002E1A46" w:rsidRPr="00ED2839">
        <w:rPr>
          <w:sz w:val="24"/>
          <w:szCs w:val="24"/>
        </w:rPr>
        <w:t xml:space="preserve"> benefício da sociedade.</w:t>
      </w:r>
    </w:p>
    <w:p w:rsidR="002E1A46" w:rsidRPr="00ED2839" w:rsidRDefault="002E1A46" w:rsidP="00ED2839">
      <w:pPr>
        <w:rPr>
          <w:sz w:val="24"/>
          <w:szCs w:val="24"/>
        </w:rPr>
      </w:pPr>
    </w:p>
    <w:p w:rsidR="00276CBC" w:rsidRPr="00ED2839" w:rsidRDefault="00276CBC" w:rsidP="00ED2839">
      <w:pPr>
        <w:rPr>
          <w:sz w:val="24"/>
          <w:szCs w:val="24"/>
        </w:rPr>
      </w:pPr>
      <w:r w:rsidRPr="00ED2839">
        <w:rPr>
          <w:sz w:val="24"/>
          <w:szCs w:val="24"/>
        </w:rPr>
        <w:t xml:space="preserve">O projeto ora em pauta, </w:t>
      </w:r>
      <w:r w:rsidR="00B9622D">
        <w:rPr>
          <w:sz w:val="24"/>
          <w:szCs w:val="24"/>
        </w:rPr>
        <w:t xml:space="preserve">se aprovado como chega à Comissão Especial, </w:t>
      </w:r>
      <w:r w:rsidRPr="00ED2839">
        <w:rPr>
          <w:sz w:val="24"/>
          <w:szCs w:val="24"/>
        </w:rPr>
        <w:t>abrirá</w:t>
      </w:r>
      <w:r w:rsidR="002E1A46" w:rsidRPr="00ED2839">
        <w:rPr>
          <w:sz w:val="24"/>
          <w:szCs w:val="24"/>
        </w:rPr>
        <w:t xml:space="preserve"> </w:t>
      </w:r>
      <w:r w:rsidRPr="00ED2839">
        <w:rPr>
          <w:sz w:val="24"/>
          <w:szCs w:val="24"/>
        </w:rPr>
        <w:t>possibilidade de operações altamente lesivas à sociedade. Isso diz respeito não só</w:t>
      </w:r>
      <w:r w:rsidR="002E1A46" w:rsidRPr="00ED2839">
        <w:rPr>
          <w:sz w:val="24"/>
          <w:szCs w:val="24"/>
        </w:rPr>
        <w:t xml:space="preserve"> </w:t>
      </w:r>
      <w:r w:rsidRPr="00ED2839">
        <w:rPr>
          <w:sz w:val="24"/>
          <w:szCs w:val="24"/>
        </w:rPr>
        <w:t>ao aspecto financeiro, mas, ainda mais alarmante, à qualidade do projeto ou obra</w:t>
      </w:r>
      <w:r w:rsidR="002E1A46" w:rsidRPr="00ED2839">
        <w:rPr>
          <w:sz w:val="24"/>
          <w:szCs w:val="24"/>
        </w:rPr>
        <w:t xml:space="preserve"> </w:t>
      </w:r>
      <w:r w:rsidRPr="00ED2839">
        <w:rPr>
          <w:sz w:val="24"/>
          <w:szCs w:val="24"/>
        </w:rPr>
        <w:t>em questão, envolvendo o bem-estar e a segurança da população.</w:t>
      </w:r>
    </w:p>
    <w:p w:rsidR="002E1A46" w:rsidRPr="00ED2839" w:rsidRDefault="002E1A46" w:rsidP="00ED2839">
      <w:pPr>
        <w:rPr>
          <w:sz w:val="24"/>
          <w:szCs w:val="24"/>
        </w:rPr>
      </w:pPr>
    </w:p>
    <w:p w:rsidR="00276CBC" w:rsidRPr="00ED2839" w:rsidRDefault="00276CBC" w:rsidP="00ED2839">
      <w:pPr>
        <w:rPr>
          <w:sz w:val="24"/>
          <w:szCs w:val="24"/>
        </w:rPr>
      </w:pPr>
      <w:r w:rsidRPr="00ED2839">
        <w:rPr>
          <w:sz w:val="24"/>
          <w:szCs w:val="24"/>
        </w:rPr>
        <w:t>A discussão sobre o necessário aprimoramento da legislação deve ser feita, sem</w:t>
      </w:r>
      <w:r w:rsidR="000B6396" w:rsidRPr="00ED2839">
        <w:rPr>
          <w:sz w:val="24"/>
          <w:szCs w:val="24"/>
        </w:rPr>
        <w:t xml:space="preserve"> </w:t>
      </w:r>
      <w:r w:rsidRPr="00ED2839">
        <w:rPr>
          <w:sz w:val="24"/>
          <w:szCs w:val="24"/>
        </w:rPr>
        <w:t>dúvida alguma, de forma democrática e transparente, com a imprescindível</w:t>
      </w:r>
      <w:r w:rsidR="000B6396" w:rsidRPr="00ED2839">
        <w:rPr>
          <w:sz w:val="24"/>
          <w:szCs w:val="24"/>
        </w:rPr>
        <w:t xml:space="preserve"> </w:t>
      </w:r>
      <w:r w:rsidRPr="00ED2839">
        <w:rPr>
          <w:sz w:val="24"/>
          <w:szCs w:val="24"/>
        </w:rPr>
        <w:t>participação dos profissionais da área tecnológica e suas entidades</w:t>
      </w:r>
      <w:r w:rsidR="002E1A46" w:rsidRPr="00ED2839">
        <w:rPr>
          <w:sz w:val="24"/>
          <w:szCs w:val="24"/>
        </w:rPr>
        <w:t xml:space="preserve"> </w:t>
      </w:r>
      <w:r w:rsidRPr="00ED2839">
        <w:rPr>
          <w:sz w:val="24"/>
          <w:szCs w:val="24"/>
        </w:rPr>
        <w:t>representativas</w:t>
      </w:r>
      <w:r w:rsidR="000B6396" w:rsidRPr="00ED2839">
        <w:rPr>
          <w:sz w:val="24"/>
          <w:szCs w:val="24"/>
        </w:rPr>
        <w:t>, das empresas do setor, de órgãos de controle, de agentes financiadores e da sociedade em geral</w:t>
      </w:r>
      <w:r w:rsidRPr="00ED2839">
        <w:rPr>
          <w:sz w:val="24"/>
          <w:szCs w:val="24"/>
        </w:rPr>
        <w:t>.</w:t>
      </w:r>
      <w:r w:rsidR="000B6396" w:rsidRPr="00ED2839">
        <w:rPr>
          <w:sz w:val="24"/>
          <w:szCs w:val="24"/>
        </w:rPr>
        <w:t xml:space="preserve"> </w:t>
      </w:r>
      <w:r w:rsidR="00B9622D">
        <w:rPr>
          <w:sz w:val="24"/>
          <w:szCs w:val="24"/>
        </w:rPr>
        <w:t xml:space="preserve">Reconhecemos o esforço </w:t>
      </w:r>
      <w:r w:rsidR="00FA4DCA">
        <w:rPr>
          <w:sz w:val="24"/>
          <w:szCs w:val="24"/>
        </w:rPr>
        <w:t xml:space="preserve">de diálogo </w:t>
      </w:r>
      <w:r w:rsidR="00B9622D">
        <w:rPr>
          <w:sz w:val="24"/>
          <w:szCs w:val="24"/>
        </w:rPr>
        <w:t>feito em várias audiências e seminários, mas é preciso que os parlamentares tenham compreensão da seriedade da matéria e deem ouvidos às questões levanta</w:t>
      </w:r>
      <w:r w:rsidR="00FA4DCA">
        <w:rPr>
          <w:sz w:val="24"/>
          <w:szCs w:val="24"/>
        </w:rPr>
        <w:t>da</w:t>
      </w:r>
      <w:r w:rsidR="00B9622D">
        <w:rPr>
          <w:sz w:val="24"/>
          <w:szCs w:val="24"/>
        </w:rPr>
        <w:t xml:space="preserve">s pelos técnicos do setor. </w:t>
      </w:r>
    </w:p>
    <w:p w:rsidR="00E47150" w:rsidRPr="00ED2839" w:rsidRDefault="00E47150" w:rsidP="00ED2839">
      <w:pPr>
        <w:rPr>
          <w:sz w:val="24"/>
          <w:szCs w:val="24"/>
        </w:rPr>
      </w:pPr>
    </w:p>
    <w:p w:rsidR="00242F0B" w:rsidRPr="00ED2839" w:rsidRDefault="00E47150" w:rsidP="00ED2839">
      <w:pPr>
        <w:rPr>
          <w:sz w:val="24"/>
          <w:szCs w:val="24"/>
        </w:rPr>
      </w:pPr>
      <w:r w:rsidRPr="00ED2839">
        <w:rPr>
          <w:sz w:val="24"/>
          <w:szCs w:val="24"/>
        </w:rPr>
        <w:t>Listamos a seguir, como nossa contribuição ao debate, e com fundamento em vários eventos realizados</w:t>
      </w:r>
      <w:r w:rsidR="00242F0B" w:rsidRPr="00ED2839">
        <w:rPr>
          <w:sz w:val="24"/>
          <w:szCs w:val="24"/>
        </w:rPr>
        <w:t xml:space="preserve"> em 18 </w:t>
      </w:r>
      <w:r w:rsidR="00CB2828">
        <w:rPr>
          <w:sz w:val="24"/>
          <w:szCs w:val="24"/>
        </w:rPr>
        <w:t>e</w:t>
      </w:r>
      <w:r w:rsidR="00242F0B" w:rsidRPr="00ED2839">
        <w:rPr>
          <w:sz w:val="24"/>
          <w:szCs w:val="24"/>
        </w:rPr>
        <w:t>stados brasileiros</w:t>
      </w:r>
      <w:r w:rsidR="00CB2828">
        <w:rPr>
          <w:sz w:val="24"/>
          <w:szCs w:val="24"/>
        </w:rPr>
        <w:t xml:space="preserve"> no âmbito da nossa f</w:t>
      </w:r>
      <w:r w:rsidRPr="00ED2839">
        <w:rPr>
          <w:sz w:val="24"/>
          <w:szCs w:val="24"/>
        </w:rPr>
        <w:t xml:space="preserve">ederação, envolvendo inclusive as sugestões apresentadas pelo </w:t>
      </w:r>
      <w:r w:rsidR="00242F0B" w:rsidRPr="00ED2839">
        <w:rPr>
          <w:sz w:val="24"/>
          <w:szCs w:val="24"/>
        </w:rPr>
        <w:t>Fórum</w:t>
      </w:r>
      <w:r w:rsidRPr="00ED2839">
        <w:rPr>
          <w:sz w:val="24"/>
          <w:szCs w:val="24"/>
        </w:rPr>
        <w:t xml:space="preserve"> de Infraestrutura do </w:t>
      </w:r>
      <w:r w:rsidR="00CB2828">
        <w:rPr>
          <w:sz w:val="24"/>
          <w:szCs w:val="24"/>
        </w:rPr>
        <w:t>Rio Grand</w:t>
      </w:r>
      <w:r w:rsidR="006162FA">
        <w:rPr>
          <w:sz w:val="24"/>
          <w:szCs w:val="24"/>
        </w:rPr>
        <w:t xml:space="preserve">e do Sul, </w:t>
      </w:r>
      <w:r w:rsidR="00B9622D">
        <w:rPr>
          <w:sz w:val="24"/>
          <w:szCs w:val="24"/>
        </w:rPr>
        <w:t xml:space="preserve">pontos essenciais a serem considerados numa legislação que regre a contratação pública de obras </w:t>
      </w:r>
      <w:r w:rsidR="00FA4DCA">
        <w:rPr>
          <w:sz w:val="24"/>
          <w:szCs w:val="24"/>
        </w:rPr>
        <w:t xml:space="preserve">e serviços de engenharia </w:t>
      </w:r>
      <w:r w:rsidR="00B9622D">
        <w:rPr>
          <w:sz w:val="24"/>
          <w:szCs w:val="24"/>
        </w:rPr>
        <w:t>no Brasil:</w:t>
      </w:r>
    </w:p>
    <w:p w:rsidR="006162FA" w:rsidRDefault="006162FA" w:rsidP="00ED2839">
      <w:pPr>
        <w:rPr>
          <w:sz w:val="24"/>
          <w:szCs w:val="24"/>
        </w:rPr>
      </w:pPr>
    </w:p>
    <w:p w:rsidR="00242F0B" w:rsidRPr="006162FA" w:rsidRDefault="006162FA" w:rsidP="006162FA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Inver</w:t>
      </w:r>
      <w:r w:rsidR="000D316A">
        <w:rPr>
          <w:sz w:val="24"/>
          <w:szCs w:val="24"/>
        </w:rPr>
        <w:t xml:space="preserve">ter </w:t>
      </w:r>
      <w:r>
        <w:rPr>
          <w:sz w:val="24"/>
          <w:szCs w:val="24"/>
        </w:rPr>
        <w:t>a a</w:t>
      </w:r>
      <w:r w:rsidR="00242F0B" w:rsidRPr="006162FA">
        <w:rPr>
          <w:sz w:val="24"/>
          <w:szCs w:val="24"/>
        </w:rPr>
        <w:t>nálise de documentação de habilitação aproveitando</w:t>
      </w:r>
      <w:r w:rsidR="00E15512" w:rsidRPr="006162FA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que talvez seja </w:t>
      </w:r>
      <w:r w:rsidR="00E15512" w:rsidRPr="006162FA">
        <w:rPr>
          <w:sz w:val="24"/>
          <w:szCs w:val="24"/>
        </w:rPr>
        <w:t>único ponto positivo</w:t>
      </w:r>
      <w:r>
        <w:rPr>
          <w:sz w:val="24"/>
          <w:szCs w:val="24"/>
        </w:rPr>
        <w:t xml:space="preserve"> do Regime Diferenciado de Contratações Públicas (</w:t>
      </w:r>
      <w:r w:rsidR="00242F0B" w:rsidRPr="006162FA">
        <w:rPr>
          <w:sz w:val="24"/>
          <w:szCs w:val="24"/>
        </w:rPr>
        <w:t>RDC</w:t>
      </w:r>
      <w:r>
        <w:rPr>
          <w:sz w:val="24"/>
          <w:szCs w:val="24"/>
        </w:rPr>
        <w:t>)</w:t>
      </w:r>
      <w:r w:rsidR="00F304BF">
        <w:rPr>
          <w:sz w:val="24"/>
          <w:szCs w:val="24"/>
        </w:rPr>
        <w:t>.</w:t>
      </w:r>
    </w:p>
    <w:p w:rsidR="00242F0B" w:rsidRPr="006162FA" w:rsidRDefault="00242F0B" w:rsidP="006162FA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6162FA">
        <w:rPr>
          <w:sz w:val="24"/>
          <w:szCs w:val="24"/>
        </w:rPr>
        <w:t>Definir os entes participantes no processo (entre licitação e execução do contrato), suas devidas responsabilidades, inclusive dos órgãos de controle no caso de darem causa a prejuízos por paradas e/ou exigências não procedentes, incluindo comina</w:t>
      </w:r>
      <w:r w:rsidR="00F304BF">
        <w:rPr>
          <w:sz w:val="24"/>
          <w:szCs w:val="24"/>
        </w:rPr>
        <w:t>ções legais em todas as esferas.</w:t>
      </w:r>
    </w:p>
    <w:p w:rsidR="00242F0B" w:rsidRPr="006162FA" w:rsidRDefault="006162FA" w:rsidP="006162FA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Estabelecer claramente a</w:t>
      </w:r>
      <w:r w:rsidR="00242F0B" w:rsidRPr="006162FA">
        <w:rPr>
          <w:sz w:val="24"/>
          <w:szCs w:val="24"/>
        </w:rPr>
        <w:t>s atribuições dos diversos órgãos de controle (CGU, TCU, Auditoria Interna, análise pela AGU do edital e seus componentes etc</w:t>
      </w:r>
      <w:r>
        <w:rPr>
          <w:sz w:val="24"/>
          <w:szCs w:val="24"/>
        </w:rPr>
        <w:t>.</w:t>
      </w:r>
      <w:r w:rsidR="00F304BF">
        <w:rPr>
          <w:sz w:val="24"/>
          <w:szCs w:val="24"/>
        </w:rPr>
        <w:t>).</w:t>
      </w:r>
    </w:p>
    <w:p w:rsidR="00C2789C" w:rsidRPr="006162FA" w:rsidRDefault="00242F0B" w:rsidP="006162FA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6162FA">
        <w:rPr>
          <w:sz w:val="24"/>
          <w:szCs w:val="24"/>
        </w:rPr>
        <w:t>Somente descentralizar recursos, quando for o caso, após a análise dos órgãos de controle</w:t>
      </w:r>
      <w:r w:rsidR="00E15512" w:rsidRPr="006162FA">
        <w:rPr>
          <w:sz w:val="24"/>
          <w:szCs w:val="24"/>
        </w:rPr>
        <w:t>,</w:t>
      </w:r>
      <w:r w:rsidRPr="006162FA">
        <w:rPr>
          <w:sz w:val="24"/>
          <w:szCs w:val="24"/>
        </w:rPr>
        <w:t xml:space="preserve"> anterior </w:t>
      </w:r>
      <w:r w:rsidR="006162FA">
        <w:rPr>
          <w:sz w:val="24"/>
          <w:szCs w:val="24"/>
        </w:rPr>
        <w:t>à</w:t>
      </w:r>
      <w:r w:rsidRPr="006162FA">
        <w:rPr>
          <w:sz w:val="24"/>
          <w:szCs w:val="24"/>
        </w:rPr>
        <w:t xml:space="preserve"> assinatura do contrato</w:t>
      </w:r>
      <w:r w:rsidR="00E15512" w:rsidRPr="006162FA">
        <w:rPr>
          <w:sz w:val="24"/>
          <w:szCs w:val="24"/>
        </w:rPr>
        <w:t xml:space="preserve">, com </w:t>
      </w:r>
      <w:r w:rsidRPr="006162FA">
        <w:rPr>
          <w:sz w:val="24"/>
          <w:szCs w:val="24"/>
        </w:rPr>
        <w:t>verificação</w:t>
      </w:r>
      <w:r w:rsidR="006162FA">
        <w:rPr>
          <w:sz w:val="24"/>
          <w:szCs w:val="24"/>
        </w:rPr>
        <w:t xml:space="preserve"> da conclusão e prévia aprovação dos p</w:t>
      </w:r>
      <w:r w:rsidR="00C2789C" w:rsidRPr="006162FA">
        <w:rPr>
          <w:sz w:val="24"/>
          <w:szCs w:val="24"/>
        </w:rPr>
        <w:t>rojetos pelos r</w:t>
      </w:r>
      <w:r w:rsidR="00F304BF">
        <w:rPr>
          <w:sz w:val="24"/>
          <w:szCs w:val="24"/>
        </w:rPr>
        <w:t>espectivos órgãos licenciadores.</w:t>
      </w:r>
    </w:p>
    <w:p w:rsidR="00E47150" w:rsidRPr="006162FA" w:rsidRDefault="00C2789C" w:rsidP="006162FA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6162FA">
        <w:rPr>
          <w:sz w:val="24"/>
          <w:szCs w:val="24"/>
        </w:rPr>
        <w:t xml:space="preserve">Obras cuja previsão de conclusão ultrapasse 12 meses deverão estar garantidas no orçamento plurianual, </w:t>
      </w:r>
      <w:r w:rsidR="00F304BF">
        <w:rPr>
          <w:sz w:val="24"/>
          <w:szCs w:val="24"/>
        </w:rPr>
        <w:t>independente</w:t>
      </w:r>
      <w:r w:rsidR="000D316A">
        <w:rPr>
          <w:sz w:val="24"/>
          <w:szCs w:val="24"/>
        </w:rPr>
        <w:t xml:space="preserve">mente </w:t>
      </w:r>
      <w:r w:rsidR="00F304BF">
        <w:rPr>
          <w:sz w:val="24"/>
          <w:szCs w:val="24"/>
        </w:rPr>
        <w:t>de orçamento anual.</w:t>
      </w:r>
    </w:p>
    <w:p w:rsidR="00C2789C" w:rsidRPr="000D316A" w:rsidRDefault="00C2789C" w:rsidP="00257085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0D316A">
        <w:rPr>
          <w:sz w:val="24"/>
          <w:szCs w:val="24"/>
        </w:rPr>
        <w:t>Definir com clareza critérios para atestação</w:t>
      </w:r>
      <w:r w:rsidR="00257085" w:rsidRPr="000D316A">
        <w:rPr>
          <w:sz w:val="24"/>
          <w:szCs w:val="24"/>
        </w:rPr>
        <w:t xml:space="preserve"> (que envolve a competência técnica dos profissionais) e capacidade técnica (que se refere à capacidade o</w:t>
      </w:r>
      <w:r w:rsidR="00F304BF" w:rsidRPr="000D316A">
        <w:rPr>
          <w:sz w:val="24"/>
          <w:szCs w:val="24"/>
        </w:rPr>
        <w:t>peracional das empresas).</w:t>
      </w:r>
    </w:p>
    <w:p w:rsidR="00C2789C" w:rsidRPr="006162FA" w:rsidRDefault="00C2789C" w:rsidP="006162FA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6162FA">
        <w:rPr>
          <w:sz w:val="24"/>
          <w:szCs w:val="24"/>
        </w:rPr>
        <w:lastRenderedPageBreak/>
        <w:t>Definir a discricionariedade do engenheiro responsável e sua</w:t>
      </w:r>
      <w:r w:rsidR="00F304BF">
        <w:rPr>
          <w:sz w:val="24"/>
          <w:szCs w:val="24"/>
        </w:rPr>
        <w:t xml:space="preserve"> autonomia em aspectos técnicos.</w:t>
      </w:r>
    </w:p>
    <w:p w:rsidR="00623E23" w:rsidRPr="006162FA" w:rsidRDefault="00257085" w:rsidP="006162FA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Definir o projeto b</w:t>
      </w:r>
      <w:r w:rsidR="00331F4D" w:rsidRPr="006162FA">
        <w:rPr>
          <w:sz w:val="24"/>
          <w:szCs w:val="24"/>
        </w:rPr>
        <w:t>ásico com o detalhamento de t</w:t>
      </w:r>
      <w:r w:rsidR="00F304BF">
        <w:rPr>
          <w:sz w:val="24"/>
          <w:szCs w:val="24"/>
        </w:rPr>
        <w:t>odos os seus elementos técnicos.</w:t>
      </w:r>
    </w:p>
    <w:p w:rsidR="00C2789C" w:rsidRPr="006162FA" w:rsidRDefault="00B9622D" w:rsidP="006162FA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F31E43" w:rsidRPr="006162FA">
        <w:rPr>
          <w:sz w:val="24"/>
          <w:szCs w:val="24"/>
        </w:rPr>
        <w:t>stabelecer critérios justos e objetivamente definidos para a comprovação da qualificação técnica, e a desclassificação das pr</w:t>
      </w:r>
      <w:r w:rsidR="00F304BF">
        <w:rPr>
          <w:sz w:val="24"/>
          <w:szCs w:val="24"/>
        </w:rPr>
        <w:t>opostas com preços inexequíveis.</w:t>
      </w:r>
    </w:p>
    <w:p w:rsidR="00F31E43" w:rsidRPr="006162FA" w:rsidRDefault="00B9622D" w:rsidP="006162FA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F31E43" w:rsidRPr="006162FA">
        <w:rPr>
          <w:sz w:val="24"/>
          <w:szCs w:val="24"/>
        </w:rPr>
        <w:t>stabelecer a obediência à ordem cronológica dos pagamentos de maneira independente da fonte específica de recursos</w:t>
      </w:r>
      <w:r w:rsidR="00F304BF">
        <w:rPr>
          <w:sz w:val="24"/>
          <w:szCs w:val="24"/>
        </w:rPr>
        <w:t>.</w:t>
      </w:r>
    </w:p>
    <w:p w:rsidR="00052B91" w:rsidRPr="006162FA" w:rsidRDefault="00052B91" w:rsidP="006162FA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6162FA">
        <w:rPr>
          <w:sz w:val="24"/>
          <w:szCs w:val="24"/>
        </w:rPr>
        <w:t>Diferenciar o erro técnico, passível de acontecer em qualquer grande projeto, do dolo intencional nas análises de auditoria.</w:t>
      </w:r>
    </w:p>
    <w:p w:rsidR="00FA4258" w:rsidRPr="00ED2839" w:rsidRDefault="00FA4258" w:rsidP="00ED2839">
      <w:pPr>
        <w:rPr>
          <w:sz w:val="24"/>
          <w:szCs w:val="24"/>
        </w:rPr>
      </w:pPr>
    </w:p>
    <w:p w:rsidR="00D05030" w:rsidRDefault="00D05030" w:rsidP="00ED2839">
      <w:pPr>
        <w:rPr>
          <w:sz w:val="24"/>
          <w:szCs w:val="24"/>
        </w:rPr>
      </w:pPr>
    </w:p>
    <w:p w:rsidR="00FA4DCA" w:rsidRPr="00ED2839" w:rsidRDefault="00FA4DCA" w:rsidP="00ED2839">
      <w:pPr>
        <w:rPr>
          <w:sz w:val="24"/>
          <w:szCs w:val="24"/>
        </w:rPr>
      </w:pPr>
      <w:r>
        <w:rPr>
          <w:sz w:val="24"/>
          <w:szCs w:val="24"/>
        </w:rPr>
        <w:t>Brasília, 8 de junho de 2018</w:t>
      </w:r>
      <w:bookmarkStart w:id="0" w:name="_GoBack"/>
      <w:bookmarkEnd w:id="0"/>
    </w:p>
    <w:sectPr w:rsidR="00FA4DCA" w:rsidRPr="00ED2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60F2"/>
    <w:multiLevelType w:val="hybridMultilevel"/>
    <w:tmpl w:val="DF22A3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D4B2B"/>
    <w:multiLevelType w:val="hybridMultilevel"/>
    <w:tmpl w:val="A21EC5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9544C"/>
    <w:multiLevelType w:val="hybridMultilevel"/>
    <w:tmpl w:val="BAFA85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BC"/>
    <w:rsid w:val="00052B91"/>
    <w:rsid w:val="000B6396"/>
    <w:rsid w:val="000D316A"/>
    <w:rsid w:val="000E26A3"/>
    <w:rsid w:val="0012219A"/>
    <w:rsid w:val="0021111D"/>
    <w:rsid w:val="00242F0B"/>
    <w:rsid w:val="00257085"/>
    <w:rsid w:val="00276CBC"/>
    <w:rsid w:val="002E1A46"/>
    <w:rsid w:val="00331F4D"/>
    <w:rsid w:val="00413353"/>
    <w:rsid w:val="00537B58"/>
    <w:rsid w:val="006162FA"/>
    <w:rsid w:val="00623E23"/>
    <w:rsid w:val="00634765"/>
    <w:rsid w:val="0069100B"/>
    <w:rsid w:val="006B79C5"/>
    <w:rsid w:val="006C3688"/>
    <w:rsid w:val="007D0E6F"/>
    <w:rsid w:val="00833F3E"/>
    <w:rsid w:val="0086112C"/>
    <w:rsid w:val="008A3A8E"/>
    <w:rsid w:val="00924B7D"/>
    <w:rsid w:val="0096729E"/>
    <w:rsid w:val="00B0510A"/>
    <w:rsid w:val="00B9622D"/>
    <w:rsid w:val="00B967BD"/>
    <w:rsid w:val="00BB3D01"/>
    <w:rsid w:val="00C2789C"/>
    <w:rsid w:val="00C3193A"/>
    <w:rsid w:val="00CB2828"/>
    <w:rsid w:val="00CD491A"/>
    <w:rsid w:val="00CE7AB8"/>
    <w:rsid w:val="00D0004F"/>
    <w:rsid w:val="00D05030"/>
    <w:rsid w:val="00D527A6"/>
    <w:rsid w:val="00D57521"/>
    <w:rsid w:val="00E15512"/>
    <w:rsid w:val="00E47150"/>
    <w:rsid w:val="00E97FB1"/>
    <w:rsid w:val="00EB2C33"/>
    <w:rsid w:val="00EC43BF"/>
    <w:rsid w:val="00ED2839"/>
    <w:rsid w:val="00F011CF"/>
    <w:rsid w:val="00F304BF"/>
    <w:rsid w:val="00F31E43"/>
    <w:rsid w:val="00FA4258"/>
    <w:rsid w:val="00FA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CBC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004F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011CF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122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CBC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004F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011CF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122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1025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Luiz Bortoli de Azambuja</dc:creator>
  <cp:lastModifiedBy>Rita</cp:lastModifiedBy>
  <cp:revision>3</cp:revision>
  <dcterms:created xsi:type="dcterms:W3CDTF">2018-06-08T14:54:00Z</dcterms:created>
  <dcterms:modified xsi:type="dcterms:W3CDTF">2018-06-08T15:22:00Z</dcterms:modified>
</cp:coreProperties>
</file>